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5-143-2103/2024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86MS0043-01-2023-013212-64</w:t>
      </w:r>
    </w:p>
    <w:p>
      <w:pPr>
        <w:spacing w:before="0" w:after="0"/>
        <w:ind w:firstLine="567"/>
        <w:jc w:val="right"/>
        <w:rPr>
          <w:sz w:val="20"/>
          <w:szCs w:val="20"/>
        </w:rPr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14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Новиковой Натальи Владимировны,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уроженки: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имеющей гражданство РФ, не р</w:t>
      </w:r>
      <w:r>
        <w:rPr>
          <w:rFonts w:ascii="Times New Roman" w:eastAsia="Times New Roman" w:hAnsi="Times New Roman" w:cs="Times New Roman"/>
        </w:rPr>
        <w:t>аботающей</w:t>
      </w:r>
      <w:r>
        <w:rPr>
          <w:rFonts w:ascii="Times New Roman" w:eastAsia="Times New Roman" w:hAnsi="Times New Roman" w:cs="Times New Roman"/>
        </w:rPr>
        <w:t xml:space="preserve">, зарегистрированной и проживающей по адресу: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4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18810586230801032918</w:t>
      </w:r>
      <w:r>
        <w:rPr>
          <w:rFonts w:ascii="Times New Roman" w:eastAsia="Times New Roman" w:hAnsi="Times New Roman" w:cs="Times New Roman"/>
        </w:rPr>
        <w:t xml:space="preserve"> от 01.08.2023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ч.2 ст. 12.9 Кодекса РФ об АП, вступившим в законную силу 13.08.2023, Новикова Н.В. привлечена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Новикова Н.В.,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судебное заседание Новикова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вручена адресату.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 от 24 марта 2005, такое извещение является надлежащим.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 возможным рассмотреть дело об административном правонарушении без участия Новиковой Н.В.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18810886230920087029 от 12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Новиковой Н.В.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18810586230801032918 от 01.08.2023 года</w:t>
      </w:r>
      <w:r>
        <w:rPr>
          <w:rFonts w:ascii="Times New Roman" w:eastAsia="Times New Roman" w:hAnsi="Times New Roman" w:cs="Times New Roman"/>
        </w:rPr>
        <w:t xml:space="preserve">, согласно которому Новикова Н.В. подвергнута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 карточку учета транспортного средства; договор купли – продажи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</w:rPr>
        <w:t xml:space="preserve"> сведения ОГИБДД 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уплате административного штрафа, согласно которым штраф не оплачен,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Новиковой Н.В. 01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01 августа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Новиковой Н.В.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02 августа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01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13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следовательно, Новикова Н.В. обязана была уплатить административный штраф не позднее 12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Новикова Н.В. совершила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Новикову Наталью Владимировну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0412365400435022602320183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5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5-143-2103/2024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